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F91" w:rsidRPr="001E725E" w:rsidRDefault="00293F91" w:rsidP="00293F91">
      <w:pPr>
        <w:pStyle w:val="Default"/>
        <w:jc w:val="center"/>
        <w:rPr>
          <w:b/>
        </w:rPr>
      </w:pPr>
      <w:r w:rsidRPr="001E725E">
        <w:rPr>
          <w:b/>
        </w:rPr>
        <w:t>POLICY OF TITLE INSURANCE (USA)</w:t>
      </w:r>
    </w:p>
    <w:p w:rsidR="00293F91" w:rsidRPr="001E725E" w:rsidRDefault="00293F91" w:rsidP="00293F91">
      <w:pPr>
        <w:pStyle w:val="Default"/>
        <w:jc w:val="center"/>
        <w:rPr>
          <w:b/>
        </w:rPr>
      </w:pPr>
      <w:r w:rsidRPr="001E725E">
        <w:rPr>
          <w:b/>
        </w:rPr>
        <w:t>T-11</w:t>
      </w:r>
    </w:p>
    <w:p w:rsidR="00293F91" w:rsidRPr="001E725E" w:rsidRDefault="00293F91" w:rsidP="00293F91">
      <w:pPr>
        <w:pStyle w:val="Default"/>
        <w:jc w:val="center"/>
      </w:pPr>
    </w:p>
    <w:p w:rsidR="00293F91" w:rsidRPr="001E725E" w:rsidRDefault="00293F91" w:rsidP="00293F91">
      <w:pPr>
        <w:pStyle w:val="Default"/>
      </w:pPr>
    </w:p>
    <w:p w:rsidR="00293F91" w:rsidRPr="001E725E" w:rsidRDefault="00F50B3F" w:rsidP="00293F91">
      <w:pPr>
        <w:pStyle w:val="Default"/>
        <w:jc w:val="center"/>
      </w:pPr>
      <w:r w:rsidRPr="001E725E">
        <w:t>SCHEDULE B</w:t>
      </w:r>
    </w:p>
    <w:p w:rsidR="00293F91" w:rsidRPr="001E725E" w:rsidRDefault="00293F91" w:rsidP="00293F91">
      <w:pPr>
        <w:pStyle w:val="Default"/>
        <w:jc w:val="center"/>
      </w:pPr>
    </w:p>
    <w:p w:rsidR="00293F91" w:rsidRPr="001E725E" w:rsidRDefault="00293F91" w:rsidP="00293F91">
      <w:pPr>
        <w:rPr>
          <w:rFonts w:ascii="Segoe UI" w:hAnsi="Segoe UI" w:cs="Segoe UI"/>
          <w:sz w:val="24"/>
          <w:szCs w:val="24"/>
        </w:rPr>
      </w:pPr>
    </w:p>
    <w:p w:rsidR="00F50B3F" w:rsidRPr="001E725E" w:rsidRDefault="00F50B3F" w:rsidP="00F50B3F">
      <w:pPr>
        <w:pStyle w:val="Default"/>
      </w:pPr>
      <w:r w:rsidRPr="001E725E">
        <w:t xml:space="preserve">This policy does not insure against loss or damage by reason of the following: </w:t>
      </w:r>
    </w:p>
    <w:p w:rsidR="00F50B3F" w:rsidRPr="001E725E" w:rsidRDefault="00F50B3F" w:rsidP="00F50B3F">
      <w:pPr>
        <w:pStyle w:val="Default"/>
      </w:pPr>
    </w:p>
    <w:p w:rsidR="00F50B3F" w:rsidRPr="001E725E" w:rsidRDefault="00F50B3F" w:rsidP="00F50B3F">
      <w:pPr>
        <w:pStyle w:val="Default"/>
        <w:jc w:val="both"/>
      </w:pPr>
      <w:r w:rsidRPr="001E725E">
        <w:t xml:space="preserve">1. </w:t>
      </w:r>
      <w:r w:rsidRPr="001E725E">
        <w:tab/>
        <w:t xml:space="preserve">Current and delinquent standby fees and taxes and assessments as follows: </w:t>
      </w:r>
    </w:p>
    <w:p w:rsidR="00F50B3F" w:rsidRPr="001E725E" w:rsidRDefault="00F50B3F" w:rsidP="00F50B3F">
      <w:pPr>
        <w:pStyle w:val="Default"/>
        <w:ind w:left="720"/>
        <w:jc w:val="both"/>
      </w:pPr>
      <w:r w:rsidRPr="001E725E">
        <w:t xml:space="preserve">(List all taxing districts in which the land is situated and other taxing authorities that have jurisdiction over said land for the levy of taxes and standby fees; showing lien date for each and amounts for all such assessments that have not been paid on the date of the policy.) </w:t>
      </w:r>
    </w:p>
    <w:p w:rsidR="00F50B3F" w:rsidRPr="001E725E" w:rsidRDefault="00F50B3F" w:rsidP="00F50B3F">
      <w:pPr>
        <w:pStyle w:val="Default"/>
        <w:ind w:left="720"/>
        <w:jc w:val="both"/>
      </w:pPr>
    </w:p>
    <w:p w:rsidR="00F50B3F" w:rsidRPr="001E725E" w:rsidRDefault="00F50B3F" w:rsidP="00F50B3F">
      <w:pPr>
        <w:pStyle w:val="Default"/>
        <w:ind w:left="720" w:hanging="720"/>
        <w:jc w:val="both"/>
      </w:pPr>
      <w:r w:rsidRPr="001E725E">
        <w:t xml:space="preserve">2. </w:t>
      </w:r>
      <w:r w:rsidRPr="001E725E">
        <w:tab/>
        <w:t xml:space="preserve">(Continue with the Special Exceptions such as recorded easements, liens, etc., showing in addition the persons or parties holding such interests of record, and who the Company would require to convey such interest or who would be the proper parties defendant in a condemnation proceeding to eliminate such matter. </w:t>
      </w:r>
    </w:p>
    <w:p w:rsidR="00F50B3F" w:rsidRPr="001E725E" w:rsidRDefault="00F50B3F" w:rsidP="00F50B3F">
      <w:pPr>
        <w:pStyle w:val="Default"/>
        <w:jc w:val="both"/>
      </w:pPr>
    </w:p>
    <w:p w:rsidR="00F50B3F" w:rsidRPr="001E725E" w:rsidRDefault="00F50B3F" w:rsidP="00F50B3F">
      <w:pPr>
        <w:pStyle w:val="Default"/>
        <w:ind w:firstLine="720"/>
        <w:jc w:val="both"/>
      </w:pPr>
      <w:r w:rsidRPr="001E725E">
        <w:t xml:space="preserve">The write-up could be substantially as follows: </w:t>
      </w:r>
    </w:p>
    <w:p w:rsidR="00F50B3F" w:rsidRPr="001E725E" w:rsidRDefault="00F50B3F" w:rsidP="00F50B3F">
      <w:pPr>
        <w:pStyle w:val="Default"/>
        <w:jc w:val="both"/>
      </w:pPr>
    </w:p>
    <w:p w:rsidR="00293F91" w:rsidRPr="001E725E" w:rsidRDefault="00F50B3F" w:rsidP="00F50B3F">
      <w:pPr>
        <w:ind w:left="720"/>
        <w:jc w:val="both"/>
        <w:rPr>
          <w:rFonts w:ascii="Segoe UI" w:hAnsi="Segoe UI" w:cs="Segoe UI"/>
          <w:sz w:val="24"/>
          <w:szCs w:val="24"/>
        </w:rPr>
      </w:pPr>
      <w:r w:rsidRPr="001E725E">
        <w:rPr>
          <w:rFonts w:ascii="Segoe UI" w:hAnsi="Segoe UI" w:cs="Segoe UI"/>
          <w:sz w:val="24"/>
          <w:szCs w:val="24"/>
        </w:rPr>
        <w:t>An easement for road purposes conveyed to_______</w:t>
      </w:r>
      <w:proofErr w:type="gramStart"/>
      <w:r w:rsidRPr="001E725E">
        <w:rPr>
          <w:rFonts w:ascii="Segoe UI" w:hAnsi="Segoe UI" w:cs="Segoe UI"/>
          <w:sz w:val="24"/>
          <w:szCs w:val="24"/>
        </w:rPr>
        <w:t>_ ,</w:t>
      </w:r>
      <w:proofErr w:type="gramEnd"/>
      <w:r w:rsidRPr="001E725E">
        <w:rPr>
          <w:rFonts w:ascii="Segoe UI" w:hAnsi="Segoe UI" w:cs="Segoe UI"/>
          <w:sz w:val="24"/>
          <w:szCs w:val="24"/>
        </w:rPr>
        <w:t xml:space="preserve"> by deed recorded _______________.)</w:t>
      </w:r>
    </w:p>
    <w:p w:rsidR="00293F91" w:rsidRPr="001E725E" w:rsidRDefault="00293F91" w:rsidP="00F50B3F">
      <w:pPr>
        <w:jc w:val="both"/>
        <w:rPr>
          <w:rFonts w:ascii="Segoe UI" w:hAnsi="Segoe UI" w:cs="Segoe UI"/>
          <w:sz w:val="24"/>
          <w:szCs w:val="24"/>
        </w:rPr>
      </w:pPr>
    </w:p>
    <w:p w:rsidR="00293F91" w:rsidRPr="00293F91" w:rsidRDefault="00293F91" w:rsidP="00293F91">
      <w:pPr>
        <w:rPr>
          <w:rFonts w:ascii="Arial" w:hAnsi="Arial" w:cs="Arial"/>
        </w:rPr>
      </w:pPr>
    </w:p>
    <w:p w:rsidR="00293F91" w:rsidRPr="00293F91" w:rsidRDefault="00293F91" w:rsidP="00293F91">
      <w:pPr>
        <w:rPr>
          <w:rFonts w:ascii="Arial" w:hAnsi="Arial" w:cs="Arial"/>
        </w:rPr>
      </w:pPr>
    </w:p>
    <w:p w:rsidR="00293F91" w:rsidRPr="00293F91" w:rsidRDefault="00293F91" w:rsidP="00293F91">
      <w:pPr>
        <w:rPr>
          <w:rFonts w:ascii="Arial" w:hAnsi="Arial" w:cs="Arial"/>
        </w:rPr>
      </w:pPr>
    </w:p>
    <w:p w:rsidR="00293F91" w:rsidRPr="00293F91" w:rsidRDefault="00293F91" w:rsidP="00293F91">
      <w:pPr>
        <w:rPr>
          <w:rFonts w:ascii="Arial" w:hAnsi="Arial" w:cs="Arial"/>
        </w:rPr>
      </w:pPr>
    </w:p>
    <w:p w:rsidR="00293F91" w:rsidRPr="00293F91" w:rsidRDefault="00293F91" w:rsidP="00293F91">
      <w:pPr>
        <w:rPr>
          <w:rFonts w:ascii="Arial" w:hAnsi="Arial" w:cs="Arial"/>
        </w:rPr>
      </w:pPr>
    </w:p>
    <w:p w:rsidR="00293F91" w:rsidRPr="00293F91" w:rsidRDefault="00293F91" w:rsidP="00293F91">
      <w:pPr>
        <w:rPr>
          <w:rFonts w:ascii="Arial" w:hAnsi="Arial" w:cs="Arial"/>
        </w:rPr>
      </w:pPr>
    </w:p>
    <w:p w:rsidR="00293F91" w:rsidRPr="00293F91" w:rsidRDefault="00293F91" w:rsidP="00293F91">
      <w:pPr>
        <w:rPr>
          <w:rFonts w:ascii="Arial" w:hAnsi="Arial" w:cs="Arial"/>
        </w:rPr>
      </w:pPr>
    </w:p>
    <w:p w:rsidR="00293F91" w:rsidRPr="00293F91" w:rsidRDefault="00293F91" w:rsidP="00293F91">
      <w:pPr>
        <w:rPr>
          <w:rFonts w:ascii="Arial" w:hAnsi="Arial" w:cs="Arial"/>
        </w:rPr>
      </w:pPr>
    </w:p>
    <w:p w:rsidR="00987C75" w:rsidRPr="001E725E" w:rsidRDefault="00987C75" w:rsidP="001E725E">
      <w:pPr>
        <w:tabs>
          <w:tab w:val="left" w:pos="1148"/>
        </w:tabs>
        <w:rPr>
          <w:rFonts w:ascii="Arial" w:hAnsi="Arial" w:cs="Arial"/>
        </w:rPr>
      </w:pPr>
      <w:bookmarkStart w:id="0" w:name="_GoBack"/>
      <w:bookmarkEnd w:id="0"/>
    </w:p>
    <w:sectPr w:rsidR="00987C75" w:rsidRPr="001E725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811" w:rsidRDefault="00D82811" w:rsidP="00293F91">
      <w:pPr>
        <w:spacing w:after="0" w:line="240" w:lineRule="auto"/>
      </w:pPr>
      <w:r>
        <w:separator/>
      </w:r>
    </w:p>
  </w:endnote>
  <w:endnote w:type="continuationSeparator" w:id="0">
    <w:p w:rsidR="00D82811" w:rsidRDefault="00D82811" w:rsidP="00293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F91" w:rsidRPr="001E725E" w:rsidRDefault="00293F91">
    <w:pPr>
      <w:pStyle w:val="Footer"/>
      <w:rPr>
        <w:rFonts w:ascii="Segoe UI" w:hAnsi="Segoe UI" w:cs="Segoe UI"/>
        <w:sz w:val="24"/>
        <w:szCs w:val="24"/>
      </w:rPr>
    </w:pPr>
    <w:r w:rsidRPr="001E725E">
      <w:rPr>
        <w:rFonts w:ascii="Segoe UI" w:hAnsi="Segoe UI" w:cs="Segoe UI"/>
        <w:sz w:val="24"/>
        <w:szCs w:val="24"/>
      </w:rPr>
      <w:t>Form T-11 TX Policy of Title Insurance (USA)</w:t>
    </w:r>
    <w:r w:rsidR="00F50B3F" w:rsidRPr="001E725E">
      <w:rPr>
        <w:rFonts w:ascii="Segoe UI" w:hAnsi="Segoe UI" w:cs="Segoe UI"/>
        <w:sz w:val="24"/>
        <w:szCs w:val="24"/>
      </w:rPr>
      <w:t xml:space="preserve"> Schedule B</w:t>
    </w:r>
  </w:p>
  <w:p w:rsidR="00293F91" w:rsidRPr="001E725E" w:rsidRDefault="00293F91">
    <w:pPr>
      <w:pStyle w:val="Footer"/>
      <w:rPr>
        <w:rFonts w:ascii="Segoe UI" w:hAnsi="Segoe UI" w:cs="Segoe UI"/>
        <w:sz w:val="24"/>
        <w:szCs w:val="24"/>
      </w:rPr>
    </w:pPr>
    <w:r w:rsidRPr="001E725E">
      <w:rPr>
        <w:rFonts w:ascii="Segoe UI" w:hAnsi="Segoe UI" w:cs="Segoe UI"/>
        <w:sz w:val="24"/>
        <w:szCs w:val="24"/>
      </w:rPr>
      <w:t>WFG National Form No.</w:t>
    </w:r>
    <w:r w:rsidR="002014AA" w:rsidRPr="001E725E">
      <w:rPr>
        <w:rFonts w:ascii="Segoe UI" w:hAnsi="Segoe UI" w:cs="Segoe UI"/>
        <w:sz w:val="24"/>
        <w:szCs w:val="24"/>
      </w:rPr>
      <w:t xml:space="preserve"> 3181448-B</w:t>
    </w:r>
  </w:p>
  <w:p w:rsidR="00293F91" w:rsidRPr="001E725E" w:rsidRDefault="00293F91">
    <w:pPr>
      <w:pStyle w:val="Footer"/>
      <w:rPr>
        <w:rFonts w:ascii="Segoe UI" w:hAnsi="Segoe UI" w:cs="Segoe UI"/>
        <w:sz w:val="24"/>
        <w:szCs w:val="24"/>
      </w:rPr>
    </w:pPr>
    <w:r w:rsidRPr="001E725E">
      <w:rPr>
        <w:rFonts w:ascii="Segoe UI" w:hAnsi="Segoe UI" w:cs="Segoe UI"/>
        <w:sz w:val="24"/>
        <w:szCs w:val="24"/>
      </w:rPr>
      <w:t>Revised 11-1-2024</w:t>
    </w:r>
  </w:p>
  <w:p w:rsidR="00293F91" w:rsidRDefault="00293F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811" w:rsidRDefault="00D82811" w:rsidP="00293F91">
      <w:pPr>
        <w:spacing w:after="0" w:line="240" w:lineRule="auto"/>
      </w:pPr>
      <w:r>
        <w:separator/>
      </w:r>
    </w:p>
  </w:footnote>
  <w:footnote w:type="continuationSeparator" w:id="0">
    <w:p w:rsidR="00D82811" w:rsidRDefault="00D82811" w:rsidP="00293F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B3F" w:rsidRDefault="001E725E">
    <w:pPr>
      <w:pStyle w:val="Header"/>
    </w:pPr>
    <w:r>
      <w:rPr>
        <w:noProof/>
      </w:rPr>
      <w:drawing>
        <wp:anchor distT="0" distB="0" distL="114300" distR="114300" simplePos="0" relativeHeight="251659264" behindDoc="0" locked="0" layoutInCell="1" allowOverlap="1" wp14:anchorId="7B45692E" wp14:editId="30E10711">
          <wp:simplePos x="0" y="0"/>
          <wp:positionH relativeFrom="margin">
            <wp:align>center</wp:align>
          </wp:positionH>
          <wp:positionV relativeFrom="paragraph">
            <wp:posOffset>-420130</wp:posOffset>
          </wp:positionV>
          <wp:extent cx="2845705" cy="875489"/>
          <wp:effectExtent l="0" t="0" r="0" b="1270"/>
          <wp:wrapNone/>
          <wp:docPr id="1" name="Picture 1" descr="C:\Users\BThompson\AppData\Local\Microsoft\Windows\Temporary Internet Files\Content.Outlook\7VJXGYXK\WFG NTI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Thompson\AppData\Local\Microsoft\Windows\Temporary Internet Files\Content.Outlook\7VJXGYXK\WFG NTIC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l="5556" t="5092" r="4445" b="48611"/>
                  <a:stretch>
                    <a:fillRect/>
                  </a:stretch>
                </pic:blipFill>
                <pic:spPr bwMode="auto">
                  <a:xfrm>
                    <a:off x="0" y="0"/>
                    <a:ext cx="2845705" cy="875489"/>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4616A"/>
    <w:multiLevelType w:val="hybridMultilevel"/>
    <w:tmpl w:val="BCDCF2BC"/>
    <w:lvl w:ilvl="0" w:tplc="E52455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541C6F"/>
    <w:multiLevelType w:val="hybridMultilevel"/>
    <w:tmpl w:val="EBD88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F91"/>
    <w:rsid w:val="0019543B"/>
    <w:rsid w:val="001E725E"/>
    <w:rsid w:val="002014AA"/>
    <w:rsid w:val="00293F91"/>
    <w:rsid w:val="008F0E07"/>
    <w:rsid w:val="00987C75"/>
    <w:rsid w:val="00B34F0E"/>
    <w:rsid w:val="00D82811"/>
    <w:rsid w:val="00EA7F93"/>
    <w:rsid w:val="00F50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782F80-6EBD-489E-B93F-EC5B9A20C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3F91"/>
    <w:pPr>
      <w:autoSpaceDE w:val="0"/>
      <w:autoSpaceDN w:val="0"/>
      <w:adjustRightInd w:val="0"/>
      <w:spacing w:after="0" w:line="240" w:lineRule="auto"/>
    </w:pPr>
    <w:rPr>
      <w:rFonts w:ascii="Segoe UI" w:hAnsi="Segoe UI" w:cs="Segoe UI"/>
      <w:color w:val="000000"/>
      <w:sz w:val="24"/>
      <w:szCs w:val="24"/>
    </w:rPr>
  </w:style>
  <w:style w:type="paragraph" w:styleId="ListParagraph">
    <w:name w:val="List Paragraph"/>
    <w:basedOn w:val="Normal"/>
    <w:uiPriority w:val="34"/>
    <w:qFormat/>
    <w:rsid w:val="00293F91"/>
    <w:pPr>
      <w:ind w:left="720"/>
      <w:contextualSpacing/>
    </w:pPr>
  </w:style>
  <w:style w:type="paragraph" w:styleId="Header">
    <w:name w:val="header"/>
    <w:basedOn w:val="Normal"/>
    <w:link w:val="HeaderChar"/>
    <w:uiPriority w:val="99"/>
    <w:unhideWhenUsed/>
    <w:rsid w:val="00293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F91"/>
  </w:style>
  <w:style w:type="paragraph" w:styleId="Footer">
    <w:name w:val="footer"/>
    <w:basedOn w:val="Normal"/>
    <w:link w:val="FooterChar"/>
    <w:uiPriority w:val="99"/>
    <w:unhideWhenUsed/>
    <w:rsid w:val="00293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143</Words>
  <Characters>818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Cornelius</dc:creator>
  <cp:keywords/>
  <dc:description/>
  <cp:lastModifiedBy>Christine Cornelius</cp:lastModifiedBy>
  <cp:revision>5</cp:revision>
  <dcterms:created xsi:type="dcterms:W3CDTF">2024-10-22T15:30:00Z</dcterms:created>
  <dcterms:modified xsi:type="dcterms:W3CDTF">2024-10-29T19:59:00Z</dcterms:modified>
</cp:coreProperties>
</file>